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59" w:rsidRPr="00FB2183" w:rsidRDefault="00153F59" w:rsidP="00FB2183">
      <w:pPr>
        <w:spacing w:after="0" w:line="240" w:lineRule="auto"/>
        <w:ind w:left="9072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Hlk63237928"/>
      <w:r w:rsidRPr="00FB2183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42072F" w:rsidRPr="00FB2183">
        <w:rPr>
          <w:rFonts w:ascii="Times New Roman" w:eastAsia="Calibri" w:hAnsi="Times New Roman" w:cs="Times New Roman"/>
          <w:sz w:val="24"/>
          <w:szCs w:val="24"/>
        </w:rPr>
        <w:t xml:space="preserve"> № 2</w:t>
      </w:r>
    </w:p>
    <w:p w:rsidR="00F10201" w:rsidRPr="00FB2183" w:rsidRDefault="00F10201" w:rsidP="00FB2183">
      <w:pPr>
        <w:spacing w:after="0" w:line="240" w:lineRule="auto"/>
        <w:ind w:left="907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B2183">
        <w:rPr>
          <w:rFonts w:ascii="Times New Roman" w:eastAsia="Calibri" w:hAnsi="Times New Roman" w:cs="Times New Roman"/>
          <w:sz w:val="24"/>
          <w:szCs w:val="24"/>
        </w:rPr>
        <w:t xml:space="preserve">к отчету </w:t>
      </w:r>
      <w:r w:rsidR="00FB2183" w:rsidRPr="00FB2183">
        <w:rPr>
          <w:rFonts w:ascii="Times New Roman" w:eastAsia="Calibri" w:hAnsi="Times New Roman" w:cs="Times New Roman"/>
          <w:sz w:val="24"/>
          <w:szCs w:val="24"/>
        </w:rPr>
        <w:t xml:space="preserve">администрации городского округа Тольятти </w:t>
      </w:r>
      <w:bookmarkStart w:id="1" w:name="_GoBack"/>
      <w:bookmarkEnd w:id="1"/>
      <w:r w:rsidR="002C64A0">
        <w:rPr>
          <w:rFonts w:ascii="Times New Roman" w:eastAsia="Calibri" w:hAnsi="Times New Roman" w:cs="Times New Roman"/>
          <w:sz w:val="24"/>
          <w:szCs w:val="24"/>
        </w:rPr>
        <w:t>о ходе выполнения П</w:t>
      </w:r>
      <w:r w:rsidRPr="00FB2183">
        <w:rPr>
          <w:rFonts w:ascii="Times New Roman" w:eastAsia="Calibri" w:hAnsi="Times New Roman" w:cs="Times New Roman"/>
          <w:sz w:val="24"/>
          <w:szCs w:val="24"/>
        </w:rPr>
        <w:t>лана мероприятий</w:t>
      </w:r>
    </w:p>
    <w:p w:rsidR="00F10201" w:rsidRPr="00FB2183" w:rsidRDefault="00F10201" w:rsidP="00FB2183">
      <w:pPr>
        <w:spacing w:after="0" w:line="240" w:lineRule="auto"/>
        <w:ind w:left="907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B2183">
        <w:rPr>
          <w:rFonts w:ascii="Times New Roman" w:eastAsia="Calibri" w:hAnsi="Times New Roman" w:cs="Times New Roman"/>
          <w:sz w:val="24"/>
          <w:szCs w:val="24"/>
        </w:rPr>
        <w:t>на 2019-2024 годы по реализации</w:t>
      </w:r>
      <w:r w:rsidR="000017FD" w:rsidRPr="00FB2183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231301" w:rsidRPr="00FB2183">
        <w:rPr>
          <w:rFonts w:ascii="Times New Roman" w:eastAsia="Calibri" w:hAnsi="Times New Roman" w:cs="Times New Roman"/>
          <w:sz w:val="24"/>
          <w:szCs w:val="24"/>
        </w:rPr>
        <w:t>тратегии</w:t>
      </w:r>
    </w:p>
    <w:p w:rsidR="00231301" w:rsidRPr="00FB2183" w:rsidRDefault="00231301" w:rsidP="00FB2183">
      <w:pPr>
        <w:spacing w:after="0" w:line="240" w:lineRule="auto"/>
        <w:ind w:left="907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B2183">
        <w:rPr>
          <w:rFonts w:ascii="Times New Roman" w:eastAsia="Calibri" w:hAnsi="Times New Roman" w:cs="Times New Roman"/>
          <w:sz w:val="24"/>
          <w:szCs w:val="24"/>
        </w:rPr>
        <w:t>социально-экономического развития</w:t>
      </w:r>
    </w:p>
    <w:p w:rsidR="00A52996" w:rsidRPr="00FB2183" w:rsidRDefault="00231301" w:rsidP="00FB2183">
      <w:pPr>
        <w:spacing w:after="0" w:line="240" w:lineRule="auto"/>
        <w:ind w:left="907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B2183">
        <w:rPr>
          <w:rFonts w:ascii="Times New Roman" w:eastAsia="Calibri" w:hAnsi="Times New Roman" w:cs="Times New Roman"/>
          <w:sz w:val="24"/>
          <w:szCs w:val="24"/>
        </w:rPr>
        <w:t>городского о</w:t>
      </w:r>
      <w:r w:rsidR="00AF5CB1" w:rsidRPr="00FB2183">
        <w:rPr>
          <w:rFonts w:ascii="Times New Roman" w:eastAsia="Calibri" w:hAnsi="Times New Roman" w:cs="Times New Roman"/>
          <w:sz w:val="24"/>
          <w:szCs w:val="24"/>
        </w:rPr>
        <w:t>круга Тольятти на период до 2030</w:t>
      </w:r>
      <w:r w:rsidRPr="00FB2183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4269E1" w:rsidRPr="00FB2183">
        <w:rPr>
          <w:rFonts w:ascii="Times New Roman" w:eastAsia="Calibri" w:hAnsi="Times New Roman" w:cs="Times New Roman"/>
          <w:sz w:val="24"/>
          <w:szCs w:val="24"/>
        </w:rPr>
        <w:t>,</w:t>
      </w:r>
    </w:p>
    <w:p w:rsidR="00A52996" w:rsidRPr="00FB2183" w:rsidRDefault="00A52996" w:rsidP="00FB2183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утвержденного решением Думы городского округа </w:t>
      </w:r>
    </w:p>
    <w:p w:rsidR="00A52996" w:rsidRPr="00FB2183" w:rsidRDefault="00A52996" w:rsidP="00FB2183">
      <w:pPr>
        <w:spacing w:after="0" w:line="240" w:lineRule="auto"/>
        <w:ind w:left="907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B218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Тольятти от 24.12.2019 № 445, за 2024 год</w:t>
      </w:r>
    </w:p>
    <w:p w:rsidR="00A52996" w:rsidRDefault="00A52996" w:rsidP="00231301">
      <w:pPr>
        <w:spacing w:after="0" w:line="240" w:lineRule="auto"/>
        <w:ind w:firstLine="80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2183" w:rsidRPr="00CC5888" w:rsidRDefault="00FB2183" w:rsidP="00231301">
      <w:pPr>
        <w:spacing w:after="0" w:line="240" w:lineRule="auto"/>
        <w:ind w:firstLine="80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3F59" w:rsidRPr="00FB2183" w:rsidRDefault="00FB2183" w:rsidP="00153F5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Hlk63237271"/>
      <w:r w:rsidRPr="00FB2183">
        <w:rPr>
          <w:rFonts w:ascii="Times New Roman" w:eastAsia="Calibri" w:hAnsi="Times New Roman" w:cs="Times New Roman"/>
          <w:b/>
          <w:sz w:val="28"/>
          <w:szCs w:val="28"/>
        </w:rPr>
        <w:t xml:space="preserve">УРОВЕНЬ </w:t>
      </w:r>
      <w:proofErr w:type="gramStart"/>
      <w:r w:rsidRPr="00FB2183">
        <w:rPr>
          <w:rFonts w:ascii="Times New Roman" w:eastAsia="Calibri" w:hAnsi="Times New Roman" w:cs="Times New Roman"/>
          <w:b/>
          <w:sz w:val="28"/>
          <w:szCs w:val="28"/>
        </w:rPr>
        <w:t>ДОСТИЖЕНИЯ ОЖИДАЕМЫХ РЕЗУЛЬТАТОВ РЕАЛИЗАЦИИ ПРИОРИТЕТОВ РАЗВИТИЯ ГОРОДСКОГО ОКРУГА ТОЛЬЯТТИ</w:t>
      </w:r>
      <w:proofErr w:type="gramEnd"/>
      <w:r w:rsidRPr="00FB2183">
        <w:rPr>
          <w:rFonts w:ascii="Times New Roman" w:eastAsia="Calibri" w:hAnsi="Times New Roman" w:cs="Times New Roman"/>
          <w:b/>
          <w:sz w:val="28"/>
          <w:szCs w:val="28"/>
        </w:rPr>
        <w:t xml:space="preserve"> НА </w:t>
      </w:r>
      <w:r w:rsidRPr="00FB218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2C64A0">
        <w:rPr>
          <w:rFonts w:ascii="Times New Roman" w:eastAsia="Calibri" w:hAnsi="Times New Roman" w:cs="Times New Roman"/>
          <w:b/>
          <w:sz w:val="28"/>
          <w:szCs w:val="28"/>
        </w:rPr>
        <w:t xml:space="preserve"> ЭТАПЕ (2021-2024</w:t>
      </w:r>
      <w:r w:rsidRPr="00FB2183">
        <w:rPr>
          <w:rFonts w:ascii="Times New Roman" w:eastAsia="Calibri" w:hAnsi="Times New Roman" w:cs="Times New Roman"/>
          <w:b/>
          <w:sz w:val="28"/>
          <w:szCs w:val="28"/>
        </w:rPr>
        <w:t xml:space="preserve">ГГ.) ВЫПОЛНЕНИЯ ПЛАНА МЕРОПРИЯТИЙ ПО РЕАЛИЗАЦИИ СТРАТЕГИИ СОЦИАЛЬНО-ЭКОНОМИЧЕСКОГО РАЗВИТИЯ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FB2183">
        <w:rPr>
          <w:rFonts w:ascii="Times New Roman" w:eastAsia="Calibri" w:hAnsi="Times New Roman" w:cs="Times New Roman"/>
          <w:b/>
          <w:sz w:val="28"/>
          <w:szCs w:val="28"/>
        </w:rPr>
        <w:t>ГОРОДСКОГО ОКРУГА ТОЛЬЯТТИ НА 2019-2024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3110"/>
        <w:gridCol w:w="2686"/>
        <w:gridCol w:w="2114"/>
        <w:gridCol w:w="2118"/>
        <w:gridCol w:w="3896"/>
      </w:tblGrid>
      <w:tr w:rsidR="00153F59" w:rsidRPr="00FB2183" w:rsidTr="00FB2183">
        <w:trPr>
          <w:tblHeader/>
        </w:trPr>
        <w:tc>
          <w:tcPr>
            <w:tcW w:w="636" w:type="dxa"/>
          </w:tcPr>
          <w:p w:rsidR="00153F59" w:rsidRPr="00FB2183" w:rsidRDefault="00153F59" w:rsidP="00FB21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3" w:name="_Hlk63237285"/>
            <w:bookmarkEnd w:id="0"/>
            <w:bookmarkEnd w:id="2"/>
            <w:r w:rsidRPr="00FB2183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10" w:type="dxa"/>
          </w:tcPr>
          <w:p w:rsidR="00153F59" w:rsidRPr="00FB2183" w:rsidRDefault="00153F59" w:rsidP="00FB21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2183">
              <w:rPr>
                <w:rFonts w:ascii="Times New Roman" w:eastAsia="Calibri" w:hAnsi="Times New Roman" w:cs="Times New Roman"/>
                <w:sz w:val="20"/>
                <w:szCs w:val="20"/>
              </w:rPr>
              <w:t>Ожидаемый результат реализации приоритета</w:t>
            </w:r>
          </w:p>
        </w:tc>
        <w:tc>
          <w:tcPr>
            <w:tcW w:w="2686" w:type="dxa"/>
          </w:tcPr>
          <w:p w:rsidR="00153F59" w:rsidRPr="00FB2183" w:rsidRDefault="00153F59" w:rsidP="00FB21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2183">
              <w:rPr>
                <w:rFonts w:ascii="Times New Roman" w:eastAsia="Calibri" w:hAnsi="Times New Roman" w:cs="Times New Roman"/>
                <w:sz w:val="20"/>
                <w:szCs w:val="20"/>
              </w:rPr>
              <w:t>Курирующий орган</w:t>
            </w:r>
          </w:p>
        </w:tc>
        <w:tc>
          <w:tcPr>
            <w:tcW w:w="2114" w:type="dxa"/>
          </w:tcPr>
          <w:p w:rsidR="00153F59" w:rsidRPr="00FB2183" w:rsidRDefault="00153F59" w:rsidP="00FB21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2183">
              <w:rPr>
                <w:rFonts w:ascii="Times New Roman" w:eastAsia="Calibri" w:hAnsi="Times New Roman" w:cs="Times New Roman"/>
                <w:sz w:val="20"/>
                <w:szCs w:val="20"/>
              </w:rPr>
              <w:t>Плановый показатель</w:t>
            </w:r>
          </w:p>
        </w:tc>
        <w:tc>
          <w:tcPr>
            <w:tcW w:w="2118" w:type="dxa"/>
          </w:tcPr>
          <w:p w:rsidR="00153F59" w:rsidRPr="00FB2183" w:rsidRDefault="00153F59" w:rsidP="00FB21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2183">
              <w:rPr>
                <w:rFonts w:ascii="Times New Roman" w:eastAsia="Calibri" w:hAnsi="Times New Roman" w:cs="Times New Roman"/>
                <w:sz w:val="20"/>
                <w:szCs w:val="20"/>
              </w:rPr>
              <w:t>Фактическое значение по итогам</w:t>
            </w:r>
          </w:p>
          <w:p w:rsidR="00153F59" w:rsidRPr="00FB2183" w:rsidRDefault="00153F59" w:rsidP="00FB218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2183">
              <w:rPr>
                <w:rFonts w:ascii="Times New Roman" w:eastAsia="Calibri" w:hAnsi="Times New Roman" w:cs="Times New Roman"/>
                <w:sz w:val="20"/>
                <w:szCs w:val="20"/>
              </w:rPr>
              <w:t>2024 года</w:t>
            </w:r>
          </w:p>
        </w:tc>
        <w:tc>
          <w:tcPr>
            <w:tcW w:w="3896" w:type="dxa"/>
          </w:tcPr>
          <w:p w:rsidR="00153F59" w:rsidRPr="00FB2183" w:rsidRDefault="0023597D" w:rsidP="0023597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2183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Достижение</w:t>
            </w:r>
            <w:r w:rsidR="00F03DD3" w:rsidRPr="00FB21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показателя</w:t>
            </w:r>
            <w:r w:rsidRPr="00FB21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/</w:t>
            </w:r>
            <w:r w:rsidR="00153F59" w:rsidRPr="00FB2183">
              <w:rPr>
                <w:rFonts w:ascii="Times New Roman" w:eastAsia="Calibri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53F59" w:rsidRPr="00FB2183" w:rsidTr="00FB2183">
        <w:tc>
          <w:tcPr>
            <w:tcW w:w="14560" w:type="dxa"/>
            <w:gridSpan w:val="6"/>
          </w:tcPr>
          <w:p w:rsidR="00153F59" w:rsidRPr="00FB2183" w:rsidRDefault="00153F59" w:rsidP="00FB21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Генеральные индикаторы Стратегии</w:t>
            </w:r>
          </w:p>
        </w:tc>
      </w:tr>
      <w:tr w:rsidR="006C2E26" w:rsidRPr="00FB2183" w:rsidTr="00FB2183">
        <w:trPr>
          <w:tblHeader/>
        </w:trPr>
        <w:tc>
          <w:tcPr>
            <w:tcW w:w="636" w:type="dxa"/>
          </w:tcPr>
          <w:p w:rsidR="006C2E26" w:rsidRPr="00FB2183" w:rsidRDefault="006C2E26" w:rsidP="006C2E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3110" w:type="dxa"/>
          </w:tcPr>
          <w:p w:rsidR="006C2E26" w:rsidRPr="00FB2183" w:rsidRDefault="006C2E26" w:rsidP="00ED2E14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Естественный </w:t>
            </w:r>
            <w:r w:rsidR="00ED2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прирост (убыль) населения </w:t>
            </w:r>
            <w:r w:rsidR="00ED2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(тыс. 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чел.)</w:t>
            </w:r>
          </w:p>
          <w:p w:rsidR="006C2E26" w:rsidRPr="00FB2183" w:rsidRDefault="006C2E26" w:rsidP="006C2E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</w:tcPr>
          <w:p w:rsidR="006C2E26" w:rsidRPr="00FB2183" w:rsidRDefault="006C2E26" w:rsidP="006C2E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6C2E26" w:rsidRPr="00FB2183" w:rsidRDefault="006C2E26" w:rsidP="006C2E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18" w:type="dxa"/>
          </w:tcPr>
          <w:p w:rsidR="006C2E26" w:rsidRPr="00FB2183" w:rsidRDefault="006C2E26" w:rsidP="006C2E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24AD3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3896" w:type="dxa"/>
          </w:tcPr>
          <w:p w:rsidR="006C2E26" w:rsidRPr="00FB2183" w:rsidRDefault="006C2E26" w:rsidP="002359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</w:t>
            </w:r>
            <w:r w:rsid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ственная убыль населения в г.о.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 сложилась за счет снижения рождаемости на 3,9</w:t>
            </w:r>
            <w:r w:rsidR="00325CF8"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к предыдущему году (родилось </w:t>
            </w:r>
            <w:r w:rsid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 тыс. чел.) и роста смертности на 1,9% к предыдущему году (умерло 8,5 тыс. чел.).</w:t>
            </w:r>
          </w:p>
        </w:tc>
      </w:tr>
      <w:tr w:rsidR="006C2E26" w:rsidRPr="00FB2183" w:rsidTr="00FB2183">
        <w:trPr>
          <w:tblHeader/>
        </w:trPr>
        <w:tc>
          <w:tcPr>
            <w:tcW w:w="636" w:type="dxa"/>
          </w:tcPr>
          <w:p w:rsidR="006C2E26" w:rsidRPr="00FB2183" w:rsidRDefault="006C2E26" w:rsidP="006C2E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3110" w:type="dxa"/>
          </w:tcPr>
          <w:p w:rsidR="006C2E26" w:rsidRPr="00FB2183" w:rsidRDefault="006C2E26" w:rsidP="006C2E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Ожидаемая  продолжительность  жизни  при  рождении (лет)</w:t>
            </w:r>
          </w:p>
        </w:tc>
        <w:tc>
          <w:tcPr>
            <w:tcW w:w="2686" w:type="dxa"/>
          </w:tcPr>
          <w:p w:rsidR="006C2E26" w:rsidRPr="00FB2183" w:rsidRDefault="006C2E26" w:rsidP="006C2E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6C2E26" w:rsidRPr="00FB2183" w:rsidRDefault="006C2E26" w:rsidP="006C2E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18" w:type="dxa"/>
          </w:tcPr>
          <w:p w:rsidR="006C2E26" w:rsidRPr="00FB2183" w:rsidRDefault="006C2E26" w:rsidP="006C2E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3896" w:type="dxa"/>
          </w:tcPr>
          <w:p w:rsidR="006C2E26" w:rsidRPr="00FB2183" w:rsidRDefault="008C2E73" w:rsidP="000E56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данным за 2023 год ожидаемая продолжительность жизни при рождении превысила 73 года, практически вернувшись к допандемийному уровню 2019 года. </w:t>
            </w:r>
            <w:r w:rsidR="006C2E26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Данные за 2024 год будут представлены С</w:t>
            </w:r>
            <w:r w:rsidR="0023597D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амарастатом в октябре 2025 года.</w:t>
            </w:r>
          </w:p>
        </w:tc>
      </w:tr>
      <w:tr w:rsidR="006C2E26" w:rsidRPr="00FB2183" w:rsidTr="00FB2183">
        <w:trPr>
          <w:tblHeader/>
        </w:trPr>
        <w:tc>
          <w:tcPr>
            <w:tcW w:w="636" w:type="dxa"/>
          </w:tcPr>
          <w:p w:rsidR="006C2E26" w:rsidRPr="00FB2183" w:rsidRDefault="006C2E26" w:rsidP="006C2E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0.3</w:t>
            </w:r>
          </w:p>
        </w:tc>
        <w:tc>
          <w:tcPr>
            <w:tcW w:w="3110" w:type="dxa"/>
          </w:tcPr>
          <w:p w:rsidR="006C2E26" w:rsidRPr="00FB2183" w:rsidRDefault="006C2E26" w:rsidP="006C2E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Реальная среднемесячная начисленная заработная плата работников организаций, не относящихся к субъектам малого предпринимательства (% к предыдущему году)</w:t>
            </w:r>
          </w:p>
        </w:tc>
        <w:tc>
          <w:tcPr>
            <w:tcW w:w="2686" w:type="dxa"/>
          </w:tcPr>
          <w:p w:rsidR="006C2E26" w:rsidRPr="00FB2183" w:rsidRDefault="006C2E26" w:rsidP="006C2E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6C2E26" w:rsidRPr="00FB2183" w:rsidRDefault="006C2E26" w:rsidP="006C2E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2118" w:type="dxa"/>
          </w:tcPr>
          <w:p w:rsidR="006C2E26" w:rsidRPr="00FB2183" w:rsidRDefault="006C2E26" w:rsidP="006C2E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3896" w:type="dxa"/>
          </w:tcPr>
          <w:p w:rsidR="006C2E26" w:rsidRPr="00FB2183" w:rsidRDefault="006C2E26" w:rsidP="0023597D">
            <w:pPr>
              <w:widowControl w:val="0"/>
              <w:numPr>
                <w:ilvl w:val="0"/>
                <w:numId w:val="1"/>
              </w:numPr>
              <w:tabs>
                <w:tab w:val="clear" w:pos="0"/>
                <w:tab w:val="num" w:pos="4"/>
                <w:tab w:val="num" w:pos="432"/>
              </w:tabs>
              <w:ind w:left="0" w:firstLine="4"/>
              <w:contextualSpacing/>
              <w:jc w:val="both"/>
              <w:textAlignment w:val="top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Наблюдаются высокие темпы роста заработной платы на фоне форсированного промышленного роста и высокой конкуренции за кадры.</w:t>
            </w:r>
          </w:p>
          <w:p w:rsidR="006C2E26" w:rsidRPr="00FB2183" w:rsidRDefault="006C2E26" w:rsidP="006C2E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2E26" w:rsidRPr="00FB2183" w:rsidTr="00FB2183">
        <w:trPr>
          <w:tblHeader/>
        </w:trPr>
        <w:tc>
          <w:tcPr>
            <w:tcW w:w="636" w:type="dxa"/>
          </w:tcPr>
          <w:p w:rsidR="006C2E26" w:rsidRPr="00FB2183" w:rsidRDefault="006C2E26" w:rsidP="006C2E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0.4</w:t>
            </w:r>
          </w:p>
        </w:tc>
        <w:tc>
          <w:tcPr>
            <w:tcW w:w="3110" w:type="dxa"/>
          </w:tcPr>
          <w:p w:rsidR="006C2E26" w:rsidRPr="00FB2183" w:rsidRDefault="006C2E26" w:rsidP="006C2E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помещений, приходящаяся в среднем на одного жителя (кв.м.)</w:t>
            </w:r>
          </w:p>
        </w:tc>
        <w:tc>
          <w:tcPr>
            <w:tcW w:w="2686" w:type="dxa"/>
          </w:tcPr>
          <w:p w:rsidR="006C2E26" w:rsidRPr="00FB2183" w:rsidRDefault="006C2E26" w:rsidP="006C2E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6C2E26" w:rsidRPr="00FB2183" w:rsidRDefault="006C2E26" w:rsidP="006C2E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18" w:type="dxa"/>
          </w:tcPr>
          <w:p w:rsidR="006C2E26" w:rsidRPr="00FB2183" w:rsidRDefault="006C2E26" w:rsidP="006C2E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25,1 </w:t>
            </w:r>
          </w:p>
        </w:tc>
        <w:tc>
          <w:tcPr>
            <w:tcW w:w="3896" w:type="dxa"/>
          </w:tcPr>
          <w:p w:rsidR="006C2E26" w:rsidRPr="00FB2183" w:rsidRDefault="006C2E26" w:rsidP="002359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Наблюдается ежегодное сокращение жилищного строительства (в 2024 году введено 79,5 тыс. кв. м жилья, что на 26% ниже уровня 2023 года). </w:t>
            </w:r>
            <w:proofErr w:type="gramStart"/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На конец</w:t>
            </w:r>
            <w:proofErr w:type="gramEnd"/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2024 года общая площадь жилых помещений составила </w:t>
            </w:r>
            <w:r w:rsidR="006D27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16 669,69 тыс. кв. м, среднегодовая численность населения - </w:t>
            </w:r>
            <w:r w:rsidR="006D27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665,3 тыс. чел.</w:t>
            </w:r>
          </w:p>
        </w:tc>
      </w:tr>
      <w:tr w:rsidR="006C2E26" w:rsidRPr="00FB2183" w:rsidTr="00FB2183">
        <w:trPr>
          <w:tblHeader/>
        </w:trPr>
        <w:tc>
          <w:tcPr>
            <w:tcW w:w="636" w:type="dxa"/>
          </w:tcPr>
          <w:p w:rsidR="006C2E26" w:rsidRPr="00FB2183" w:rsidRDefault="006C2E26" w:rsidP="006C2E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3110" w:type="dxa"/>
          </w:tcPr>
          <w:p w:rsidR="006C2E26" w:rsidRPr="00FB2183" w:rsidRDefault="006C2E26" w:rsidP="006C2E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экспорта (% к уровню 2018 году в сопоставимых ценах)</w:t>
            </w:r>
          </w:p>
          <w:p w:rsidR="00F03DD3" w:rsidRPr="00FB2183" w:rsidRDefault="00F03DD3" w:rsidP="006C2E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</w:tcPr>
          <w:p w:rsidR="006C2E26" w:rsidRPr="00FB2183" w:rsidRDefault="006C2E26" w:rsidP="006C2E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6C2E26" w:rsidRPr="00FB2183" w:rsidRDefault="006C2E26" w:rsidP="006C2E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118" w:type="dxa"/>
          </w:tcPr>
          <w:p w:rsidR="006C2E26" w:rsidRPr="00FB2183" w:rsidRDefault="006C2E26" w:rsidP="006C2E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3896" w:type="dxa"/>
          </w:tcPr>
          <w:p w:rsidR="006C2E26" w:rsidRPr="00FB2183" w:rsidRDefault="00E24AD3" w:rsidP="002359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Статистика по данному показателю в разрезе муниципальных образований отсутствует.</w:t>
            </w:r>
          </w:p>
        </w:tc>
      </w:tr>
      <w:tr w:rsidR="006C2E26" w:rsidRPr="00FB2183" w:rsidTr="00FB2183">
        <w:trPr>
          <w:tblHeader/>
        </w:trPr>
        <w:tc>
          <w:tcPr>
            <w:tcW w:w="636" w:type="dxa"/>
          </w:tcPr>
          <w:p w:rsidR="006C2E26" w:rsidRPr="00FB2183" w:rsidRDefault="006C2E26" w:rsidP="006C2E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0.6</w:t>
            </w:r>
          </w:p>
        </w:tc>
        <w:tc>
          <w:tcPr>
            <w:tcW w:w="3110" w:type="dxa"/>
          </w:tcPr>
          <w:p w:rsidR="006C2E26" w:rsidRPr="00FB2183" w:rsidRDefault="006C2E26" w:rsidP="006C2E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Сводный рейтинг городского округа Тольятти  в мониторинге эффективности деятельности органов местного самоуправления городских округов и муниципальных районов в Самарской области (группа)</w:t>
            </w:r>
          </w:p>
        </w:tc>
        <w:tc>
          <w:tcPr>
            <w:tcW w:w="2686" w:type="dxa"/>
          </w:tcPr>
          <w:p w:rsidR="006C2E26" w:rsidRPr="00FB2183" w:rsidRDefault="006C2E26" w:rsidP="006C2E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6C2E26" w:rsidRPr="00FB2183" w:rsidRDefault="006C2E26" w:rsidP="006C2E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со средней оценкой</w:t>
            </w:r>
          </w:p>
        </w:tc>
        <w:tc>
          <w:tcPr>
            <w:tcW w:w="2118" w:type="dxa"/>
          </w:tcPr>
          <w:p w:rsidR="006C2E26" w:rsidRPr="00FB2183" w:rsidRDefault="006C2E26" w:rsidP="006C2E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со средней оценкой</w:t>
            </w:r>
          </w:p>
        </w:tc>
        <w:tc>
          <w:tcPr>
            <w:tcW w:w="3896" w:type="dxa"/>
          </w:tcPr>
          <w:p w:rsidR="006C2E26" w:rsidRPr="00FB2183" w:rsidRDefault="006C2E26" w:rsidP="002359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По данным Сводного доклада о результатах мониторинга эффективности</w:t>
            </w:r>
            <w:r w:rsidR="0023597D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 органов местного</w:t>
            </w:r>
            <w:r w:rsidR="0023597D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самоуправления городских округов и муниципальных районов в Самарской области за 2023 год. Городской округ Тольятти в сводном рейтинге на 18 месте из 37 мест (0,4831 балла).</w:t>
            </w:r>
          </w:p>
        </w:tc>
      </w:tr>
      <w:bookmarkEnd w:id="3"/>
      <w:tr w:rsidR="00153F59" w:rsidRPr="00FB2183" w:rsidTr="00FB2183">
        <w:tc>
          <w:tcPr>
            <w:tcW w:w="14560" w:type="dxa"/>
            <w:gridSpan w:val="6"/>
          </w:tcPr>
          <w:p w:rsidR="00153F59" w:rsidRPr="00FB2183" w:rsidRDefault="00153F59" w:rsidP="00FB218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Приоритет (1) «Экогород»</w:t>
            </w:r>
          </w:p>
          <w:p w:rsidR="00153F59" w:rsidRPr="00FB2183" w:rsidRDefault="00153F59" w:rsidP="00FB218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Выброшено в атмосферу 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загрязняющих веществ, отходящих от стационарных источников – всего (тыс.тонн)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Департамент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городского хозяйства 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28,4</w:t>
            </w:r>
          </w:p>
        </w:tc>
        <w:tc>
          <w:tcPr>
            <w:tcW w:w="2118" w:type="dxa"/>
          </w:tcPr>
          <w:p w:rsidR="006C7F67" w:rsidRPr="00FB2183" w:rsidRDefault="003D21DB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3896" w:type="dxa"/>
          </w:tcPr>
          <w:p w:rsidR="006C7F67" w:rsidRPr="00FB2183" w:rsidRDefault="006C7F67" w:rsidP="002359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данным крупных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промпредприятий, имеющих стационарные источники выбросов, за 2024 год.</w:t>
            </w: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сброса загрязненных сточных вод в поверхностные водные объекты (млн куб.м.)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110,6</w:t>
            </w:r>
          </w:p>
        </w:tc>
        <w:tc>
          <w:tcPr>
            <w:tcW w:w="2118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114,7</w:t>
            </w:r>
          </w:p>
        </w:tc>
        <w:tc>
          <w:tcPr>
            <w:tcW w:w="3896" w:type="dxa"/>
          </w:tcPr>
          <w:p w:rsidR="006C7F67" w:rsidRPr="00FB2183" w:rsidRDefault="006C7F67" w:rsidP="002359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данным организаций, осуществля</w:t>
            </w:r>
            <w:r w:rsidR="00EA509C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ющих водоотведение, существующие мощности очистных сооружений не позволяют выполнить данный показатель в полном объеме.</w:t>
            </w: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выявленных несанкционированных свалок в границах городского округа (в % к 01.01.2018 г.)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8" w:type="dxa"/>
          </w:tcPr>
          <w:p w:rsidR="006C7F67" w:rsidRPr="00FB2183" w:rsidRDefault="00472288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3896" w:type="dxa"/>
          </w:tcPr>
          <w:p w:rsidR="00472288" w:rsidRPr="00FB2183" w:rsidRDefault="00793CE8" w:rsidP="006F3A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В 2024 году выявлено</w:t>
            </w:r>
            <w:r w:rsidR="006F3A48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14 несанкционированных свалок, что составило 32,6 % от количества свалок, выявленных на 01.01.2018</w:t>
            </w:r>
            <w:r w:rsidR="00472288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F3A48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472288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43 несанкционированные свалки</w:t>
            </w:r>
            <w:r w:rsidR="006F3A48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472288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8040F" w:rsidRPr="00FB2183" w:rsidRDefault="00A8040F" w:rsidP="00A804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Причинами превышения фактического значения показателя относительно планового являются: 1) мораторий на проведение проверок</w:t>
            </w:r>
            <w:r w:rsidR="00B710FF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хозяйствующих субъектов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установленный постановлением Правительства РФ № 336 от 10.03.2022. </w:t>
            </w:r>
          </w:p>
          <w:p w:rsidR="00471627" w:rsidRPr="00FB2183" w:rsidRDefault="00A8040F" w:rsidP="00A804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2) отсутствие в показателях эффективности ОВД количества составленных протоколов по ч.3.1 ст. 8.2 КоАП</w:t>
            </w:r>
            <w:r w:rsidR="00AD31F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РФ.</w:t>
            </w: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территорий, занятых лесами, в общей площади территории городского округа (%)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2118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3896" w:type="dxa"/>
          </w:tcPr>
          <w:p w:rsidR="006C7F67" w:rsidRPr="00FB2183" w:rsidRDefault="006C7F67" w:rsidP="004716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твердых 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коммунальных отходов, направленных на утилизацию, в общем объеме образованных твердых коммунальных отходов (%)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Департамент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городского хозяйства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18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11,86</w:t>
            </w:r>
          </w:p>
        </w:tc>
        <w:tc>
          <w:tcPr>
            <w:tcW w:w="3896" w:type="dxa"/>
          </w:tcPr>
          <w:p w:rsidR="006C7F67" w:rsidRPr="00FB2183" w:rsidRDefault="00A8040F" w:rsidP="002359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Более низкое  фактическое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значение показателя относительно планового связано с тем, что региональный оператор не обеспечивает раздельный вывоз раздельно собранных ТКО, причиной чего является отсутствие рассчитанного и утвержденного </w:t>
            </w:r>
            <w:r w:rsidR="00AD31F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уровне Самарской области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тарифа на транспортирование раздельно накопленных отходов.</w:t>
            </w: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твердых коммунальных отходов, направленных на обработку, в общем объеме образованных твердых коммунальных отходов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18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6" w:type="dxa"/>
          </w:tcPr>
          <w:p w:rsidR="006C7F67" w:rsidRPr="00FB2183" w:rsidRDefault="00937BF9" w:rsidP="002359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Все твердые коммунальные отходы</w:t>
            </w:r>
            <w:r w:rsidR="006703B8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(ТКО)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, собранные региональным оператором</w:t>
            </w:r>
            <w:r w:rsidR="006703B8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обращению с ТКО</w:t>
            </w:r>
            <w:r w:rsid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территории г.о.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Тольятти, направляются на переработку</w:t>
            </w:r>
            <w:r w:rsidR="0056777A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(согласно ранее действовавшей формулировке – на обработку)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6D27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56777A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мусоро</w:t>
            </w:r>
            <w:r w:rsidR="0056777A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сортировочные станции.</w:t>
            </w: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110" w:type="dxa"/>
          </w:tcPr>
          <w:p w:rsidR="0023597D" w:rsidRPr="00FB2183" w:rsidRDefault="006C7F67" w:rsidP="00F03D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 Тольятти, обеспеченного качественной питьевой водой из систем централизованного водоснабжения (%)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18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96" w:type="dxa"/>
          </w:tcPr>
          <w:p w:rsidR="006C7F67" w:rsidRPr="00FB2183" w:rsidRDefault="006C7F67" w:rsidP="002359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7F67" w:rsidRPr="00FB2183" w:rsidTr="00FB2183">
        <w:tc>
          <w:tcPr>
            <w:tcW w:w="14560" w:type="dxa"/>
            <w:gridSpan w:val="6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Приоритет (2) «Человеческий потенциал»</w:t>
            </w:r>
          </w:p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7B01" w:rsidRPr="00FB2183" w:rsidTr="00FB2183">
        <w:tc>
          <w:tcPr>
            <w:tcW w:w="636" w:type="dxa"/>
          </w:tcPr>
          <w:p w:rsidR="00267B01" w:rsidRPr="00FB2183" w:rsidRDefault="00267B01" w:rsidP="00267B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10" w:type="dxa"/>
          </w:tcPr>
          <w:p w:rsidR="00267B01" w:rsidRPr="00FB2183" w:rsidRDefault="00267B01" w:rsidP="00267B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Обеспеченность дошкольными образовательными учреждениями (мест на </w:t>
            </w:r>
            <w:r w:rsidR="00ED2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детей в возрасте </w:t>
            </w:r>
            <w:r w:rsidR="00ED2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 лет)</w:t>
            </w:r>
          </w:p>
        </w:tc>
        <w:tc>
          <w:tcPr>
            <w:tcW w:w="2686" w:type="dxa"/>
          </w:tcPr>
          <w:p w:rsidR="00267B01" w:rsidRPr="00FB2183" w:rsidRDefault="00267B01" w:rsidP="00267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</w:t>
            </w:r>
          </w:p>
        </w:tc>
        <w:tc>
          <w:tcPr>
            <w:tcW w:w="2114" w:type="dxa"/>
          </w:tcPr>
          <w:p w:rsidR="00267B01" w:rsidRPr="00FB2183" w:rsidRDefault="00267B01" w:rsidP="00267B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2118" w:type="dxa"/>
          </w:tcPr>
          <w:p w:rsidR="00267B01" w:rsidRPr="00FB2183" w:rsidRDefault="00267B01" w:rsidP="00267B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1323</w:t>
            </w:r>
          </w:p>
        </w:tc>
        <w:tc>
          <w:tcPr>
            <w:tcW w:w="3896" w:type="dxa"/>
          </w:tcPr>
          <w:p w:rsidR="00267B01" w:rsidRPr="00FB2183" w:rsidRDefault="00364351" w:rsidP="003643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дополнительных групп в  муниципальных дошкольных образовательных учреждениях.</w:t>
            </w:r>
          </w:p>
        </w:tc>
      </w:tr>
      <w:tr w:rsidR="00267B01" w:rsidRPr="00FB2183" w:rsidTr="00FB2183">
        <w:tc>
          <w:tcPr>
            <w:tcW w:w="636" w:type="dxa"/>
          </w:tcPr>
          <w:p w:rsidR="00267B01" w:rsidRPr="00FB2183" w:rsidRDefault="00E52E47" w:rsidP="00267B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110" w:type="dxa"/>
          </w:tcPr>
          <w:p w:rsidR="00267B01" w:rsidRPr="00FB2183" w:rsidRDefault="00267B01" w:rsidP="00267B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дошкольными образовательными учреждениями для детей в возрасте до 3-х лет (%)</w:t>
            </w:r>
          </w:p>
        </w:tc>
        <w:tc>
          <w:tcPr>
            <w:tcW w:w="2686" w:type="dxa"/>
          </w:tcPr>
          <w:p w:rsidR="00267B01" w:rsidRPr="00FB2183" w:rsidRDefault="00267B01" w:rsidP="00267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</w:t>
            </w:r>
          </w:p>
        </w:tc>
        <w:tc>
          <w:tcPr>
            <w:tcW w:w="2114" w:type="dxa"/>
          </w:tcPr>
          <w:p w:rsidR="00267B01" w:rsidRPr="00FB2183" w:rsidRDefault="00267B01" w:rsidP="00267B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18" w:type="dxa"/>
          </w:tcPr>
          <w:p w:rsidR="00267B01" w:rsidRPr="00FB2183" w:rsidRDefault="00267B01" w:rsidP="00267B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6" w:type="dxa"/>
          </w:tcPr>
          <w:p w:rsidR="00267B01" w:rsidRPr="00FB2183" w:rsidRDefault="00267B01" w:rsidP="002359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B01" w:rsidRPr="00FB2183" w:rsidTr="00FB2183">
        <w:tc>
          <w:tcPr>
            <w:tcW w:w="636" w:type="dxa"/>
          </w:tcPr>
          <w:p w:rsidR="00267B01" w:rsidRPr="00FB2183" w:rsidRDefault="00E52E47" w:rsidP="00267B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0" w:type="dxa"/>
          </w:tcPr>
          <w:p w:rsidR="00267B01" w:rsidRPr="00FB2183" w:rsidRDefault="00267B01" w:rsidP="00267B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дополнительным образованием детей в возрасте от 5 до 18 лет (%)</w:t>
            </w:r>
          </w:p>
        </w:tc>
        <w:tc>
          <w:tcPr>
            <w:tcW w:w="2686" w:type="dxa"/>
          </w:tcPr>
          <w:p w:rsidR="00267B01" w:rsidRPr="00FB2183" w:rsidRDefault="00267B01" w:rsidP="00267B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</w:t>
            </w:r>
          </w:p>
        </w:tc>
        <w:tc>
          <w:tcPr>
            <w:tcW w:w="2114" w:type="dxa"/>
          </w:tcPr>
          <w:p w:rsidR="00267B01" w:rsidRPr="00FB2183" w:rsidRDefault="00267B01" w:rsidP="00267B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267B01" w:rsidRPr="00FB2183" w:rsidRDefault="00267B01" w:rsidP="00267B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</w:tcPr>
          <w:p w:rsidR="00267B01" w:rsidRPr="00FB2183" w:rsidRDefault="00267B01" w:rsidP="00267B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3896" w:type="dxa"/>
          </w:tcPr>
          <w:p w:rsidR="00267B01" w:rsidRPr="00FB2183" w:rsidRDefault="00ED31CB" w:rsidP="00ED31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интереса жителей городского округа к дополнительному образованию детей.</w:t>
            </w: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E52E4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 (%)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физической культуры и спорта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2118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3896" w:type="dxa"/>
          </w:tcPr>
          <w:p w:rsidR="006C7F67" w:rsidRPr="00FB2183" w:rsidRDefault="006C7F67" w:rsidP="002359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E52E4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численности приведенного контингента студентов в вузах и филиалах вузов Тольятти по отраслям наук «Математика и естественные науки»,</w:t>
            </w:r>
            <w:r w:rsid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дело и технологии» в численности приведенного контингента студентов Тольятти (%)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и науки Самарской области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18" w:type="dxa"/>
          </w:tcPr>
          <w:p w:rsidR="006C7F67" w:rsidRPr="00FB2183" w:rsidRDefault="00096121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3896" w:type="dxa"/>
          </w:tcPr>
          <w:p w:rsidR="006C7F67" w:rsidRPr="00FB2183" w:rsidRDefault="00096121" w:rsidP="002359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Контрольные цифры приема на обучение по программам высшего образования за счет средств федерального бюджета устанавливаются вузам Министерством науки и высшего образования Российской Федерации в </w:t>
            </w:r>
            <w:r w:rsidR="00B710FF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соответствии с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кадровой потребностью. </w:t>
            </w: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E52E4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врачей на </w:t>
            </w:r>
            <w:r w:rsidR="00ED2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человек населения (чел.)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здравоохранения Самарской области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18" w:type="dxa"/>
          </w:tcPr>
          <w:p w:rsidR="006C7F67" w:rsidRPr="00FB2183" w:rsidRDefault="006D420F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3896" w:type="dxa"/>
          </w:tcPr>
          <w:p w:rsidR="006C7F67" w:rsidRPr="00FB2183" w:rsidRDefault="00AF43A9" w:rsidP="006D42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Низкая конкурентоспособность заработной платы врачей государственных учреждений здравоохранения по сравнению с час</w:t>
            </w:r>
            <w:r w:rsidR="009D39A9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тными медицинскими организациями. Отток выпускников медицинских вузов</w:t>
            </w:r>
            <w:r w:rsidR="007B3943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регионы с более </w:t>
            </w:r>
            <w:r w:rsidR="007B3943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конкурентоспособной заработной платой.</w:t>
            </w:r>
          </w:p>
        </w:tc>
      </w:tr>
      <w:tr w:rsidR="006C7F67" w:rsidRPr="00FB2183" w:rsidTr="00FB2183">
        <w:tc>
          <w:tcPr>
            <w:tcW w:w="14560" w:type="dxa"/>
            <w:gridSpan w:val="6"/>
          </w:tcPr>
          <w:p w:rsidR="00CF612D" w:rsidRPr="00FB2183" w:rsidRDefault="006C7F67" w:rsidP="00CF612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Приоритет (3) «Городское сообщество и идентичность»</w:t>
            </w:r>
          </w:p>
          <w:p w:rsidR="00CF612D" w:rsidRPr="00FB2183" w:rsidRDefault="00CF612D" w:rsidP="00CF612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 (тыс.ед.)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международных и межрегиональных связей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6,33</w:t>
            </w:r>
          </w:p>
        </w:tc>
        <w:tc>
          <w:tcPr>
            <w:tcW w:w="2118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6,68</w:t>
            </w:r>
          </w:p>
        </w:tc>
        <w:tc>
          <w:tcPr>
            <w:tcW w:w="3896" w:type="dxa"/>
          </w:tcPr>
          <w:p w:rsidR="006C7F67" w:rsidRPr="00FB2183" w:rsidRDefault="006C7F67" w:rsidP="002359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В связи с реконструкцией и вводом в эксплуатацию обновленного номерного фонда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коллективных средствах размещения.</w:t>
            </w: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Число туристических маршрутов по знаковым местам города (шт.)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международных и межрегиональных связей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8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6" w:type="dxa"/>
          </w:tcPr>
          <w:p w:rsidR="006C7F67" w:rsidRPr="00FB2183" w:rsidRDefault="006C7F67" w:rsidP="00BE00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средств, выделяемых на основе конкурсных механизмов некоммерческим организациям Тольятти в реальном выражении</w:t>
            </w:r>
          </w:p>
          <w:p w:rsidR="006C7F67" w:rsidRPr="00FB2183" w:rsidRDefault="006C7F67" w:rsidP="006C7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 к 2017г.)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взаимодействия с общественностью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18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3896" w:type="dxa"/>
          </w:tcPr>
          <w:p w:rsidR="006C7F67" w:rsidRPr="00FB2183" w:rsidRDefault="00BE00F0" w:rsidP="00AA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hAnsi="Times New Roman" w:cs="Times New Roman"/>
                <w:sz w:val="24"/>
                <w:szCs w:val="24"/>
              </w:rPr>
              <w:t>В 2022-2024 годах</w:t>
            </w:r>
            <w:r w:rsidR="00FB2183">
              <w:rPr>
                <w:rFonts w:ascii="Times New Roman" w:hAnsi="Times New Roman" w:cs="Times New Roman"/>
                <w:sz w:val="24"/>
                <w:szCs w:val="24"/>
              </w:rPr>
              <w:t xml:space="preserve"> в бюджете г.о.</w:t>
            </w:r>
            <w:r w:rsidR="00BB1FE2" w:rsidRPr="00FB2183">
              <w:rPr>
                <w:rFonts w:ascii="Times New Roman" w:hAnsi="Times New Roman" w:cs="Times New Roman"/>
                <w:sz w:val="24"/>
                <w:szCs w:val="24"/>
              </w:rPr>
              <w:t xml:space="preserve">Тольятти отсутствовали </w:t>
            </w:r>
            <w:r w:rsidR="006C7F67" w:rsidRPr="00FB2183">
              <w:rPr>
                <w:rFonts w:ascii="Times New Roman" w:hAnsi="Times New Roman" w:cs="Times New Roman"/>
                <w:sz w:val="24"/>
                <w:szCs w:val="24"/>
              </w:rPr>
              <w:t xml:space="preserve">ассигнования на субсидии некоммерческим организациям, не являющимся государственными (муниципальными) учреждениями, для реализации инициатив (мероприятий) населения, проживающего на территории городского округа Тольятти, в целях решения вопросов </w:t>
            </w:r>
            <w:r w:rsidR="00CA6D47" w:rsidRPr="00FB2183">
              <w:rPr>
                <w:rFonts w:ascii="Times New Roman" w:hAnsi="Times New Roman" w:cs="Times New Roman"/>
                <w:sz w:val="24"/>
                <w:szCs w:val="24"/>
              </w:rPr>
              <w:t>местного значения,</w:t>
            </w:r>
            <w:r w:rsidR="0041193B" w:rsidRPr="00FB2183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предусмотренные</w:t>
            </w:r>
            <w:r w:rsidR="00CA6D47" w:rsidRPr="00FB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7F67" w:rsidRPr="00FB2183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41193B" w:rsidRPr="00FB218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B21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г.о.</w:t>
            </w:r>
            <w:r w:rsidR="00CA6D47" w:rsidRPr="00FB2183">
              <w:rPr>
                <w:rFonts w:ascii="Times New Roman" w:hAnsi="Times New Roman" w:cs="Times New Roman"/>
                <w:sz w:val="24"/>
                <w:szCs w:val="24"/>
              </w:rPr>
              <w:t>Тольятти</w:t>
            </w:r>
            <w:r w:rsidR="0041193B" w:rsidRPr="00FB2183">
              <w:rPr>
                <w:rFonts w:ascii="Times New Roman" w:hAnsi="Times New Roman" w:cs="Times New Roman"/>
                <w:sz w:val="24"/>
                <w:szCs w:val="24"/>
              </w:rPr>
              <w:t xml:space="preserve"> от 16.04.2013 </w:t>
            </w:r>
            <w:r w:rsidR="006D271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1193B" w:rsidRPr="00FB2183">
              <w:rPr>
                <w:rFonts w:ascii="Times New Roman" w:hAnsi="Times New Roman" w:cs="Times New Roman"/>
                <w:sz w:val="24"/>
                <w:szCs w:val="24"/>
              </w:rPr>
              <w:t>№ 1186-п/1.</w:t>
            </w: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социально ориентированных некоммерческих организаций, реализующих городские проекты (ед.)</w:t>
            </w:r>
          </w:p>
        </w:tc>
        <w:tc>
          <w:tcPr>
            <w:tcW w:w="268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взаимодействия с общественностью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8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9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7F67" w:rsidRPr="00FB2183" w:rsidTr="00FB2183">
        <w:tc>
          <w:tcPr>
            <w:tcW w:w="14560" w:type="dxa"/>
            <w:gridSpan w:val="6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Приоритет (4) «Возможности для каждого»</w:t>
            </w:r>
          </w:p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A4E5B" w:rsidRPr="00FB2183" w:rsidTr="00FB2183">
        <w:tc>
          <w:tcPr>
            <w:tcW w:w="636" w:type="dxa"/>
          </w:tcPr>
          <w:p w:rsidR="00CA4E5B" w:rsidRPr="00FB2183" w:rsidRDefault="00CA4E5B" w:rsidP="00CA4E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0" w:type="dxa"/>
          </w:tcPr>
          <w:p w:rsidR="00CA4E5B" w:rsidRPr="00FB2183" w:rsidRDefault="00CA4E5B" w:rsidP="00CA4E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производства по обрабатывающей промышленности (раздел C) (% к предыдущему году)</w:t>
            </w:r>
          </w:p>
        </w:tc>
        <w:tc>
          <w:tcPr>
            <w:tcW w:w="2686" w:type="dxa"/>
          </w:tcPr>
          <w:p w:rsidR="00CA4E5B" w:rsidRPr="00FB2183" w:rsidRDefault="00CA4E5B" w:rsidP="00CA4E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CA4E5B" w:rsidRPr="00FB2183" w:rsidRDefault="00CA4E5B" w:rsidP="00CA4E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18" w:type="dxa"/>
          </w:tcPr>
          <w:p w:rsidR="00CA4E5B" w:rsidRPr="00FB2183" w:rsidRDefault="00CA4E5B" w:rsidP="00CA4E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114,9</w:t>
            </w:r>
          </w:p>
        </w:tc>
        <w:tc>
          <w:tcPr>
            <w:tcW w:w="3896" w:type="dxa"/>
          </w:tcPr>
          <w:p w:rsidR="00CA4E5B" w:rsidRPr="00FB2183" w:rsidRDefault="00CA4E5B" w:rsidP="003563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Наблюдаются высокие темпы роста показателя с учетом низкой базы 2020-2022 годов в связи с кризисными явлениями в экономике в период пандемии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-19 и введения зарубежных санкций. Основное влияние на рост показателя оказало автомобилестроение с индексом производства 128,5%</w:t>
            </w:r>
          </w:p>
        </w:tc>
      </w:tr>
      <w:tr w:rsidR="00CA4E5B" w:rsidRPr="00FB2183" w:rsidTr="00FB2183">
        <w:tc>
          <w:tcPr>
            <w:tcW w:w="636" w:type="dxa"/>
          </w:tcPr>
          <w:p w:rsidR="00CA4E5B" w:rsidRPr="00FB2183" w:rsidRDefault="00CA4E5B" w:rsidP="00CA4E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110" w:type="dxa"/>
          </w:tcPr>
          <w:p w:rsidR="00CA4E5B" w:rsidRPr="00FB2183" w:rsidRDefault="00CA4E5B" w:rsidP="00CA4E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 (тыс.ед.)</w:t>
            </w:r>
          </w:p>
        </w:tc>
        <w:tc>
          <w:tcPr>
            <w:tcW w:w="2686" w:type="dxa"/>
          </w:tcPr>
          <w:p w:rsidR="00CA4E5B" w:rsidRPr="00FB2183" w:rsidRDefault="00CA4E5B" w:rsidP="00CA4E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CA4E5B" w:rsidRPr="00FB2183" w:rsidRDefault="00CA4E5B" w:rsidP="00CA4E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18" w:type="dxa"/>
          </w:tcPr>
          <w:p w:rsidR="00CA4E5B" w:rsidRPr="00FB2183" w:rsidRDefault="00CA4E5B" w:rsidP="00CA4E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3896" w:type="dxa"/>
          </w:tcPr>
          <w:p w:rsidR="00861222" w:rsidRPr="00FB2183" w:rsidRDefault="00861222" w:rsidP="006D27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МСП в городском округе снижается.  Это обусловлено переходом юридических лиц (организации малого бизнеса) в категории индивидуальных предпринимателей и самозанятых граждан — бизнес предпочитает переходить в альтернативные режимы в условиях неопределенности экономики. </w:t>
            </w:r>
          </w:p>
          <w:p w:rsidR="004E0CE5" w:rsidRPr="00FB2183" w:rsidRDefault="00861222" w:rsidP="006D27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тем, если рассматривать общее количество субъектов МСП и самозанятых граждан, то здесь наблюдается последовательный рост. </w:t>
            </w:r>
          </w:p>
          <w:p w:rsidR="00861222" w:rsidRPr="00FB2183" w:rsidRDefault="00861222" w:rsidP="00861222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7F67" w:rsidRPr="00FB2183" w:rsidTr="00FB2183">
        <w:tc>
          <w:tcPr>
            <w:tcW w:w="636" w:type="dxa"/>
          </w:tcPr>
          <w:p w:rsidR="006C7F67" w:rsidRPr="00FB2183" w:rsidRDefault="006C7F67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110" w:type="dxa"/>
          </w:tcPr>
          <w:p w:rsidR="006C7F67" w:rsidRPr="00FB2183" w:rsidRDefault="006C7F67" w:rsidP="006C7F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торговых мест на розничных  рынках, включая </w:t>
            </w:r>
            <w:proofErr w:type="gramStart"/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сельскохозяйственные</w:t>
            </w:r>
            <w:proofErr w:type="gramEnd"/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</w:t>
            </w:r>
            <w:r w:rsidR="00ED2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января, ед.)</w:t>
            </w:r>
          </w:p>
        </w:tc>
        <w:tc>
          <w:tcPr>
            <w:tcW w:w="2686" w:type="dxa"/>
          </w:tcPr>
          <w:p w:rsidR="006C7F67" w:rsidRPr="00FB2183" w:rsidRDefault="00421ECF" w:rsidP="006C7F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Управление</w:t>
            </w:r>
            <w:r w:rsidR="006C7F6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потребительского рынка</w:t>
            </w:r>
          </w:p>
        </w:tc>
        <w:tc>
          <w:tcPr>
            <w:tcW w:w="2114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2118" w:type="dxa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896" w:type="dxa"/>
          </w:tcPr>
          <w:p w:rsidR="006C7F67" w:rsidRPr="00FB2183" w:rsidRDefault="006C7F67" w:rsidP="00356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количества торговых мест на рынках городского округа Тольятти произошло в связи с 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из реестра розничных рынков, организованных на территории Самарской области, связанного с перепрофилированием торговой деятельности:</w:t>
            </w:r>
          </w:p>
          <w:p w:rsidR="006C7F67" w:rsidRPr="00FB2183" w:rsidRDefault="006C7F67" w:rsidP="003563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2023 году - ОАО «Арена-С»;</w:t>
            </w:r>
          </w:p>
          <w:p w:rsidR="006C7F67" w:rsidRPr="00FB2183" w:rsidRDefault="006C7F67" w:rsidP="003563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2024 году - ООО </w:t>
            </w:r>
            <w:r w:rsidR="00F04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15AC2"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омсомольский рынок».</w:t>
            </w:r>
          </w:p>
        </w:tc>
      </w:tr>
      <w:tr w:rsidR="00A92E7D" w:rsidRPr="00FB2183" w:rsidTr="00FB2183">
        <w:tc>
          <w:tcPr>
            <w:tcW w:w="636" w:type="dxa"/>
          </w:tcPr>
          <w:p w:rsidR="00A92E7D" w:rsidRPr="00FB2183" w:rsidRDefault="00A92E7D" w:rsidP="00A92E7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3110" w:type="dxa"/>
          </w:tcPr>
          <w:p w:rsidR="00A92E7D" w:rsidRPr="00FB2183" w:rsidRDefault="00A92E7D" w:rsidP="00A92E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доходов 10% наиболее обеспеченного населения и 10% наименее обеспеченного населения (% к 2018г.)</w:t>
            </w:r>
          </w:p>
        </w:tc>
        <w:tc>
          <w:tcPr>
            <w:tcW w:w="2686" w:type="dxa"/>
          </w:tcPr>
          <w:p w:rsidR="00A92E7D" w:rsidRPr="00FB2183" w:rsidRDefault="00A92E7D" w:rsidP="00A92E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A92E7D" w:rsidRPr="00FB2183" w:rsidRDefault="00A92E7D" w:rsidP="00A92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18" w:type="dxa"/>
          </w:tcPr>
          <w:p w:rsidR="00A92E7D" w:rsidRPr="00FB2183" w:rsidRDefault="00AE3F4E" w:rsidP="00A92E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3896" w:type="dxa"/>
          </w:tcPr>
          <w:p w:rsidR="00A92E7D" w:rsidRPr="00FB2183" w:rsidRDefault="00A92E7D" w:rsidP="003563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статистики по данному показателю в разрезе муниципальных образований не предусмотрено.</w:t>
            </w:r>
          </w:p>
        </w:tc>
      </w:tr>
      <w:tr w:rsidR="006C7F67" w:rsidRPr="00FB2183" w:rsidTr="00FB2183">
        <w:tc>
          <w:tcPr>
            <w:tcW w:w="14560" w:type="dxa"/>
            <w:gridSpan w:val="6"/>
          </w:tcPr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Приоритет (5) «Город больших проектов»</w:t>
            </w:r>
          </w:p>
          <w:p w:rsidR="006C7F67" w:rsidRPr="00FB2183" w:rsidRDefault="006C7F67" w:rsidP="006C7F6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капитал организаций за счет всех источников финансирования (в ценах соответствующих лет) - всего (млн руб.)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</w:t>
            </w:r>
          </w:p>
        </w:tc>
        <w:tc>
          <w:tcPr>
            <w:tcW w:w="2118" w:type="dxa"/>
          </w:tcPr>
          <w:p w:rsidR="00F764E7" w:rsidRPr="00FB2183" w:rsidRDefault="002822B3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80 873,8</w:t>
            </w:r>
            <w:r w:rsidR="00F764E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96" w:type="dxa"/>
          </w:tcPr>
          <w:p w:rsidR="00F764E7" w:rsidRPr="00FB2183" w:rsidRDefault="00BD61CF" w:rsidP="00F764E7">
            <w:pPr>
              <w:pStyle w:val="a8"/>
              <w:tabs>
                <w:tab w:val="left" w:pos="0"/>
              </w:tabs>
              <w:jc w:val="both"/>
              <w:rPr>
                <w:rFonts w:ascii="Times New Roman" w:eastAsia="Calibri" w:hAnsi="Times New Roman"/>
                <w:b w:val="0"/>
                <w:bCs/>
                <w:szCs w:val="24"/>
                <w:lang w:eastAsia="zh-CN"/>
              </w:rPr>
            </w:pPr>
            <w:r w:rsidRPr="00FB2183">
              <w:rPr>
                <w:rFonts w:ascii="Times New Roman" w:hAnsi="Times New Roman"/>
                <w:b w:val="0"/>
                <w:szCs w:val="24"/>
              </w:rPr>
              <w:t>Рост показателя обусловлен инвестиционной активностью организаций города, в том числе реализацией крупных инвестиционных проектов АО «АВТОВАЗ», предприятий химической промышленности, а также резидентов ТОР «Тольятти» и ОЭЗ ППТ «Тольятти»</w:t>
            </w: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производительности труда относительно 2017г. (%)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18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243,8</w:t>
            </w:r>
          </w:p>
        </w:tc>
        <w:tc>
          <w:tcPr>
            <w:tcW w:w="3896" w:type="dxa"/>
          </w:tcPr>
          <w:p w:rsidR="00F764E7" w:rsidRPr="00FB2183" w:rsidRDefault="00F764E7" w:rsidP="003563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 произведен без учета раздела Е (водоснабжение, водоотведение, организация сбора и утилизации отходов, деятельность по ликвидации загрязнений), т.к. начиная с 2023 года Самарастат не предоставляют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данные о среднесписочной численности работников раздела Е.</w:t>
            </w: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организаций, осуществлявших технологические, организационные, маркетинговые инновации в отчетном году, в общем числе обследованных организаций (%)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18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20,2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96" w:type="dxa"/>
          </w:tcPr>
          <w:p w:rsidR="00F764E7" w:rsidRPr="00FB2183" w:rsidRDefault="00926F29" w:rsidP="00926F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3563F4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данным за 2023 год. </w:t>
            </w:r>
            <w:r w:rsidR="00F764E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за 2024 год </w:t>
            </w:r>
            <w:r w:rsidR="00F764E7" w:rsidRPr="00FB218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будут предоставлены </w:t>
            </w:r>
            <w:r w:rsidR="00F764E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Самарастатом</w:t>
            </w:r>
            <w:r w:rsidR="00F764E7" w:rsidRPr="00FB218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в октябре 2025 года.</w:t>
            </w: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национальных проектов с участием городского округа (шт.)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18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6" w:type="dxa"/>
          </w:tcPr>
          <w:p w:rsidR="00F764E7" w:rsidRPr="00FB2183" w:rsidRDefault="00F764E7" w:rsidP="003563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64E7" w:rsidRPr="00FB2183" w:rsidTr="00FB2183">
        <w:tc>
          <w:tcPr>
            <w:tcW w:w="14560" w:type="dxa"/>
            <w:gridSpan w:val="6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Приоритет (6) «Город жизни»</w:t>
            </w:r>
          </w:p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жилых домов за счет всех источников финансирования (тыс. кв.м)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градостроительной деятельности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2118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3896" w:type="dxa"/>
          </w:tcPr>
          <w:p w:rsidR="00F764E7" w:rsidRPr="00FB2183" w:rsidRDefault="000D7241" w:rsidP="003563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F764E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м. приложение № 1 к отчету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Одиночное протяжение уличной канализационной сети, нуждающейся в замене (% от общей протяженности)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18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30,92</w:t>
            </w:r>
          </w:p>
        </w:tc>
        <w:tc>
          <w:tcPr>
            <w:tcW w:w="3896" w:type="dxa"/>
          </w:tcPr>
          <w:p w:rsidR="004C0118" w:rsidRPr="00FB2183" w:rsidRDefault="00BA4BEC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актуализированной Программы комплексного развития систем к</w:t>
            </w:r>
            <w:r w:rsidR="00FB2183">
              <w:rPr>
                <w:rFonts w:ascii="Times New Roman" w:eastAsia="Calibri" w:hAnsi="Times New Roman" w:cs="Times New Roman"/>
                <w:sz w:val="24"/>
                <w:szCs w:val="24"/>
              </w:rPr>
              <w:t>оммунальной инфраструктуры г.о.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Тольятти.</w:t>
            </w:r>
          </w:p>
          <w:p w:rsidR="00F764E7" w:rsidRPr="00FB2183" w:rsidRDefault="00BA4BEC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В рамках собственных инвестиционных программ, р</w:t>
            </w:r>
            <w:r w:rsidR="00F764E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есурсоснабжающие организации ООО «ВОКС»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ПАО «Т Плюс» переложили участки</w:t>
            </w:r>
            <w:r w:rsidR="00F764E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764E7"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канализационной сети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2024 году общей протяженностью</w:t>
            </w:r>
            <w:r w:rsidR="00F764E7"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1014 м (</w:t>
            </w:r>
            <w:r w:rsidR="00F764E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0,08 % </w:t>
            </w:r>
            <w:r w:rsidR="00F764E7"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общей протяженности)</w:t>
            </w:r>
            <w:r w:rsidR="004C0118"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благоустроенных парков культуры и отдыха (городских садов, ед.)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Департамент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городского хозяйства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18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96" w:type="dxa"/>
          </w:tcPr>
          <w:p w:rsidR="00F764E7" w:rsidRPr="00FB2183" w:rsidRDefault="00F764E7" w:rsidP="00B15AC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183">
              <w:rPr>
                <w:rFonts w:ascii="Times New Roman" w:hAnsi="Times New Roman"/>
                <w:sz w:val="24"/>
                <w:szCs w:val="24"/>
              </w:rPr>
              <w:t xml:space="preserve">Выполнение работ ненадлежащего </w:t>
            </w:r>
            <w:r w:rsidRPr="00FB2183">
              <w:rPr>
                <w:rFonts w:ascii="Times New Roman" w:hAnsi="Times New Roman"/>
                <w:sz w:val="24"/>
                <w:szCs w:val="24"/>
              </w:rPr>
              <w:lastRenderedPageBreak/>
              <w:t>качества и в объемах, не соответствующих условиям муниципального контракта по благоустройству парка Центрального района (2 этап). В настоящее время ведется претензионная работа.</w:t>
            </w: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этажность вводимых в эксплуатацию многоквартирных жилых домов (этажей)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градостроительной деятельности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118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3896" w:type="dxa"/>
          </w:tcPr>
          <w:p w:rsidR="00F764E7" w:rsidRPr="00FB2183" w:rsidRDefault="00B30662" w:rsidP="00B3066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Организациями - </w:t>
            </w:r>
            <w:r w:rsidR="005A720A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застройщиками </w:t>
            </w:r>
            <w:r w:rsidR="008F2D5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2019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-2024 годов</w:t>
            </w:r>
            <w:r w:rsidR="008F2D5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реализованы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проекты строительства</w:t>
            </w:r>
            <w:r w:rsidR="005A720A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многоквартирных жилых домов,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средняя этажнос</w:t>
            </w:r>
            <w:r w:rsidR="008F2D5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ть которых меньше прогнозной.</w:t>
            </w:r>
          </w:p>
        </w:tc>
      </w:tr>
      <w:tr w:rsidR="00F31FB7" w:rsidRPr="00FB2183" w:rsidTr="00FB2183">
        <w:tc>
          <w:tcPr>
            <w:tcW w:w="636" w:type="dxa"/>
          </w:tcPr>
          <w:p w:rsidR="00F31FB7" w:rsidRPr="00FB2183" w:rsidRDefault="00F31FB7" w:rsidP="00F31F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110" w:type="dxa"/>
          </w:tcPr>
          <w:p w:rsidR="00F31FB7" w:rsidRPr="00FB2183" w:rsidRDefault="00F31FB7" w:rsidP="00F31F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Индекс качества городской среды (%)</w:t>
            </w:r>
          </w:p>
        </w:tc>
        <w:tc>
          <w:tcPr>
            <w:tcW w:w="2686" w:type="dxa"/>
          </w:tcPr>
          <w:p w:rsidR="00F31FB7" w:rsidRPr="00FB2183" w:rsidRDefault="00F31FB7" w:rsidP="00F31F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</w:tc>
        <w:tc>
          <w:tcPr>
            <w:tcW w:w="2114" w:type="dxa"/>
          </w:tcPr>
          <w:p w:rsidR="00F31FB7" w:rsidRPr="00FB2183" w:rsidRDefault="00F31FB7" w:rsidP="00F31F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18" w:type="dxa"/>
          </w:tcPr>
          <w:p w:rsidR="00F31FB7" w:rsidRPr="00FB2183" w:rsidRDefault="00F31FB7" w:rsidP="00F31F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896" w:type="dxa"/>
          </w:tcPr>
          <w:p w:rsidR="00F31FB7" w:rsidRPr="00FB2183" w:rsidRDefault="00926F29" w:rsidP="00926F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767309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о д</w:t>
            </w:r>
            <w:r w:rsidR="00F31FB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анны</w:t>
            </w:r>
            <w:r w:rsidR="00767309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F31FB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2023 год. Данные за 2024 год будут </w:t>
            </w:r>
            <w:r w:rsidR="00767309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31FB7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предоставлены </w:t>
            </w:r>
            <w:r w:rsidR="00F31FB7" w:rsidRPr="00FB2183">
              <w:rPr>
                <w:rFonts w:ascii="Times New Roman" w:hAnsi="Times New Roman" w:cs="Times New Roman"/>
                <w:sz w:val="24"/>
                <w:szCs w:val="24"/>
              </w:rPr>
              <w:t>Министерством строительства и жилищно-коммунального хозяйства РФ</w:t>
            </w:r>
            <w:r w:rsidR="00767309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апреле 2025 года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764E7" w:rsidRPr="00FB2183" w:rsidTr="00FB2183">
        <w:tc>
          <w:tcPr>
            <w:tcW w:w="14560" w:type="dxa"/>
            <w:gridSpan w:val="6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Приоритет (7) «Тольятти мобильный»</w:t>
            </w:r>
          </w:p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Пассажирооборот транспорта общего пользования (млн. пассажиро-километров)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дорожного хозяйства </w:t>
            </w:r>
          </w:p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и транспорта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1116,3</w:t>
            </w:r>
          </w:p>
        </w:tc>
        <w:tc>
          <w:tcPr>
            <w:tcW w:w="2118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428,2</w:t>
            </w:r>
          </w:p>
        </w:tc>
        <w:tc>
          <w:tcPr>
            <w:tcW w:w="389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пассажирооборота транспорта общего пользования в 2024 году связано с нехваткой водителей, износом подвижного состава, сокращением количества выполняемых рейсов, снижением количества перевезенных пассажиров маршрутными такси (прекращением работы маршрутов: № 93, 93к, 94, 95, 108, 143, 149, 153). </w:t>
            </w: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</w:t>
            </w: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велодорожек, отвечающих современных требованиям безопасности (км)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Департамент 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дорожного хозяйства </w:t>
            </w:r>
          </w:p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и транспорта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11,35</w:t>
            </w:r>
          </w:p>
        </w:tc>
        <w:tc>
          <w:tcPr>
            <w:tcW w:w="2118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896" w:type="dxa"/>
          </w:tcPr>
          <w:p w:rsidR="00F764E7" w:rsidRPr="00FB2183" w:rsidRDefault="00F764E7" w:rsidP="007673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7.3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фото - и видеокамер фиксации нарушений правил дорожного движения (шт.)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дорожного хозяйства</w:t>
            </w:r>
          </w:p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и транспорта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18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896" w:type="dxa"/>
          </w:tcPr>
          <w:p w:rsidR="00F764E7" w:rsidRPr="00FB2183" w:rsidRDefault="00F764E7" w:rsidP="00BF1D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Установка камер фотовидеофиксации нарушений ПДД осуществляется в рамках государственной программы «Развитие транспортной системы Самарской области», утвержденной </w:t>
            </w:r>
            <w:r w:rsidRPr="00FB2183">
              <w:rPr>
                <w:rFonts w:ascii="Times New Roman" w:hAnsi="Times New Roman" w:cs="Times New Roman"/>
                <w:sz w:val="24"/>
                <w:szCs w:val="24"/>
              </w:rPr>
              <w:t>постановлением Правительства Самарской области от 27.11.2013 № 677</w:t>
            </w: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выделенных полос для общественного транспорта (км)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дорожного хозяйства </w:t>
            </w:r>
          </w:p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и транспорта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2118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96" w:type="dxa"/>
          </w:tcPr>
          <w:p w:rsidR="00F764E7" w:rsidRPr="00FB2183" w:rsidRDefault="00F764E7" w:rsidP="00BF1D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E1577A"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виде эксперимента были введены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выделенные полосы для </w:t>
            </w:r>
            <w:r w:rsidR="00FB2183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общественного транспорта на ул.Свердлова и ул.</w:t>
            </w: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Юбилейной. Однако, ввиду отсутствия большого трафика общественного транспорта, увеличения количества единиц личного автотранспорта и поступления жалоб от граждан, принято решения об их  нецелесообразности.</w:t>
            </w:r>
          </w:p>
        </w:tc>
      </w:tr>
      <w:tr w:rsidR="00F764E7" w:rsidRPr="00FB2183" w:rsidTr="00FB2183">
        <w:tc>
          <w:tcPr>
            <w:tcW w:w="636" w:type="dxa"/>
          </w:tcPr>
          <w:p w:rsidR="00F764E7" w:rsidRPr="00FB2183" w:rsidRDefault="00F764E7" w:rsidP="00F76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110" w:type="dxa"/>
          </w:tcPr>
          <w:p w:rsidR="00F764E7" w:rsidRPr="00FB2183" w:rsidRDefault="00F764E7" w:rsidP="00F76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Число погибших в дорожно-транспортных происшествиях (чел.)</w:t>
            </w:r>
          </w:p>
        </w:tc>
        <w:tc>
          <w:tcPr>
            <w:tcW w:w="2686" w:type="dxa"/>
          </w:tcPr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дорожного хозяйства</w:t>
            </w:r>
          </w:p>
          <w:p w:rsidR="00F764E7" w:rsidRPr="00FB2183" w:rsidRDefault="00F764E7" w:rsidP="00F764E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и транспорта</w:t>
            </w:r>
          </w:p>
        </w:tc>
        <w:tc>
          <w:tcPr>
            <w:tcW w:w="2114" w:type="dxa"/>
          </w:tcPr>
          <w:p w:rsidR="00F764E7" w:rsidRPr="00FB2183" w:rsidRDefault="00F764E7" w:rsidP="00F764E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не более 25</w:t>
            </w:r>
          </w:p>
          <w:p w:rsidR="00F764E7" w:rsidRPr="00FB2183" w:rsidRDefault="00F764E7" w:rsidP="00F764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</w:tcPr>
          <w:p w:rsidR="00F764E7" w:rsidRPr="00FB2183" w:rsidRDefault="00F764E7" w:rsidP="00F76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18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6" w:type="dxa"/>
          </w:tcPr>
          <w:p w:rsidR="00F764E7" w:rsidRPr="00FB2183" w:rsidRDefault="00F764E7" w:rsidP="00BF1D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15463" w:rsidRDefault="00815463" w:rsidP="00E65932"/>
    <w:sectPr w:rsidR="00815463" w:rsidSect="00605C68">
      <w:headerReference w:type="default" r:id="rId9"/>
      <w:pgSz w:w="16838" w:h="11906" w:orient="landscape" w:code="9"/>
      <w:pgMar w:top="1280" w:right="1134" w:bottom="851" w:left="1134" w:header="709" w:footer="709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71D" w:rsidRDefault="006D271D">
      <w:pPr>
        <w:spacing w:after="0" w:line="240" w:lineRule="auto"/>
      </w:pPr>
      <w:r>
        <w:separator/>
      </w:r>
    </w:p>
  </w:endnote>
  <w:endnote w:type="continuationSeparator" w:id="0">
    <w:p w:rsidR="006D271D" w:rsidRDefault="006D2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71D" w:rsidRDefault="006D271D">
      <w:pPr>
        <w:spacing w:after="0" w:line="240" w:lineRule="auto"/>
      </w:pPr>
      <w:r>
        <w:separator/>
      </w:r>
    </w:p>
  </w:footnote>
  <w:footnote w:type="continuationSeparator" w:id="0">
    <w:p w:rsidR="006D271D" w:rsidRDefault="006D2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7299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05C68" w:rsidRPr="00605C68" w:rsidRDefault="00605C68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05C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05C6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05C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158</w:t>
        </w:r>
        <w:r w:rsidRPr="00605C6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D271D" w:rsidRDefault="006D27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F59"/>
    <w:rsid w:val="000017FD"/>
    <w:rsid w:val="00096121"/>
    <w:rsid w:val="000B12CE"/>
    <w:rsid w:val="000D7241"/>
    <w:rsid w:val="000E5665"/>
    <w:rsid w:val="00107545"/>
    <w:rsid w:val="001118EC"/>
    <w:rsid w:val="001441FF"/>
    <w:rsid w:val="00153F59"/>
    <w:rsid w:val="00156230"/>
    <w:rsid w:val="00186917"/>
    <w:rsid w:val="001B261C"/>
    <w:rsid w:val="001B4B9C"/>
    <w:rsid w:val="001B735A"/>
    <w:rsid w:val="00207C0F"/>
    <w:rsid w:val="0021727D"/>
    <w:rsid w:val="00231301"/>
    <w:rsid w:val="0023597D"/>
    <w:rsid w:val="00267B01"/>
    <w:rsid w:val="00274374"/>
    <w:rsid w:val="002822B0"/>
    <w:rsid w:val="002822B3"/>
    <w:rsid w:val="00291098"/>
    <w:rsid w:val="002C64A0"/>
    <w:rsid w:val="00301217"/>
    <w:rsid w:val="00307210"/>
    <w:rsid w:val="0031085D"/>
    <w:rsid w:val="00325CF8"/>
    <w:rsid w:val="00340A16"/>
    <w:rsid w:val="0035384C"/>
    <w:rsid w:val="003563F4"/>
    <w:rsid w:val="00364351"/>
    <w:rsid w:val="003A3DE1"/>
    <w:rsid w:val="003A57BC"/>
    <w:rsid w:val="003D207F"/>
    <w:rsid w:val="003D21DB"/>
    <w:rsid w:val="00405515"/>
    <w:rsid w:val="0041193B"/>
    <w:rsid w:val="0042072F"/>
    <w:rsid w:val="00421ECF"/>
    <w:rsid w:val="00424493"/>
    <w:rsid w:val="00424F78"/>
    <w:rsid w:val="00426666"/>
    <w:rsid w:val="004269E1"/>
    <w:rsid w:val="00471627"/>
    <w:rsid w:val="00472288"/>
    <w:rsid w:val="004955E9"/>
    <w:rsid w:val="00496603"/>
    <w:rsid w:val="004B0907"/>
    <w:rsid w:val="004C0118"/>
    <w:rsid w:val="004C57D8"/>
    <w:rsid w:val="004E0CE5"/>
    <w:rsid w:val="00523F16"/>
    <w:rsid w:val="0056777A"/>
    <w:rsid w:val="005830E3"/>
    <w:rsid w:val="005A720A"/>
    <w:rsid w:val="005E060C"/>
    <w:rsid w:val="006021AA"/>
    <w:rsid w:val="00605C68"/>
    <w:rsid w:val="0064099F"/>
    <w:rsid w:val="006703B8"/>
    <w:rsid w:val="00671796"/>
    <w:rsid w:val="006A29B9"/>
    <w:rsid w:val="006C2E26"/>
    <w:rsid w:val="006C7F67"/>
    <w:rsid w:val="006D271D"/>
    <w:rsid w:val="006D420F"/>
    <w:rsid w:val="006D6227"/>
    <w:rsid w:val="006F3A48"/>
    <w:rsid w:val="00740525"/>
    <w:rsid w:val="00763975"/>
    <w:rsid w:val="00767309"/>
    <w:rsid w:val="00785192"/>
    <w:rsid w:val="00793CE8"/>
    <w:rsid w:val="007B3943"/>
    <w:rsid w:val="0081303C"/>
    <w:rsid w:val="00815463"/>
    <w:rsid w:val="0085429E"/>
    <w:rsid w:val="00861222"/>
    <w:rsid w:val="008A3B3C"/>
    <w:rsid w:val="008C2E73"/>
    <w:rsid w:val="008D4F21"/>
    <w:rsid w:val="008E1A39"/>
    <w:rsid w:val="008F103B"/>
    <w:rsid w:val="008F2529"/>
    <w:rsid w:val="008F2D57"/>
    <w:rsid w:val="00926F29"/>
    <w:rsid w:val="00937BF9"/>
    <w:rsid w:val="009B3962"/>
    <w:rsid w:val="009C1DBA"/>
    <w:rsid w:val="009C3313"/>
    <w:rsid w:val="009C54BC"/>
    <w:rsid w:val="009D39A9"/>
    <w:rsid w:val="009F719E"/>
    <w:rsid w:val="00A204C6"/>
    <w:rsid w:val="00A25AF6"/>
    <w:rsid w:val="00A52996"/>
    <w:rsid w:val="00A52AE7"/>
    <w:rsid w:val="00A672D8"/>
    <w:rsid w:val="00A8040F"/>
    <w:rsid w:val="00A92E7D"/>
    <w:rsid w:val="00AA2A88"/>
    <w:rsid w:val="00AB089A"/>
    <w:rsid w:val="00AC4ED5"/>
    <w:rsid w:val="00AD00E2"/>
    <w:rsid w:val="00AD31F7"/>
    <w:rsid w:val="00AE3F4E"/>
    <w:rsid w:val="00AF43A9"/>
    <w:rsid w:val="00AF5CB1"/>
    <w:rsid w:val="00B15AC2"/>
    <w:rsid w:val="00B30116"/>
    <w:rsid w:val="00B30662"/>
    <w:rsid w:val="00B710FF"/>
    <w:rsid w:val="00B903F4"/>
    <w:rsid w:val="00BA4BEC"/>
    <w:rsid w:val="00BB1FE2"/>
    <w:rsid w:val="00BD57A1"/>
    <w:rsid w:val="00BD61CF"/>
    <w:rsid w:val="00BE00F0"/>
    <w:rsid w:val="00BF1D46"/>
    <w:rsid w:val="00BF1FC1"/>
    <w:rsid w:val="00C1428E"/>
    <w:rsid w:val="00CA4E5B"/>
    <w:rsid w:val="00CA6D47"/>
    <w:rsid w:val="00CB6B27"/>
    <w:rsid w:val="00CC2E5C"/>
    <w:rsid w:val="00CF5F2A"/>
    <w:rsid w:val="00CF612D"/>
    <w:rsid w:val="00D17575"/>
    <w:rsid w:val="00D36CC2"/>
    <w:rsid w:val="00D86EBA"/>
    <w:rsid w:val="00D90759"/>
    <w:rsid w:val="00DF1095"/>
    <w:rsid w:val="00E0444E"/>
    <w:rsid w:val="00E1577A"/>
    <w:rsid w:val="00E24AD3"/>
    <w:rsid w:val="00E51BD0"/>
    <w:rsid w:val="00E52E47"/>
    <w:rsid w:val="00E65932"/>
    <w:rsid w:val="00EA43A7"/>
    <w:rsid w:val="00EA509C"/>
    <w:rsid w:val="00ED2E14"/>
    <w:rsid w:val="00ED31CB"/>
    <w:rsid w:val="00ED3CF6"/>
    <w:rsid w:val="00F03DD3"/>
    <w:rsid w:val="00F04E9D"/>
    <w:rsid w:val="00F10201"/>
    <w:rsid w:val="00F31FB7"/>
    <w:rsid w:val="00F42E1A"/>
    <w:rsid w:val="00F44DFE"/>
    <w:rsid w:val="00F764E7"/>
    <w:rsid w:val="00FB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3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53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3F59"/>
  </w:style>
  <w:style w:type="paragraph" w:styleId="a6">
    <w:name w:val="No Spacing"/>
    <w:link w:val="a7"/>
    <w:uiPriority w:val="1"/>
    <w:qFormat/>
    <w:rsid w:val="00424F7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424F78"/>
    <w:rPr>
      <w:rFonts w:ascii="Calibri" w:eastAsia="Times New Roman" w:hAnsi="Calibri" w:cs="Times New Roman"/>
    </w:rPr>
  </w:style>
  <w:style w:type="paragraph" w:styleId="a8">
    <w:name w:val="Subtitle"/>
    <w:basedOn w:val="a"/>
    <w:link w:val="a9"/>
    <w:qFormat/>
    <w:rsid w:val="00F764E7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F764E7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5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5932"/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FB2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1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3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53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3F59"/>
  </w:style>
  <w:style w:type="paragraph" w:styleId="a6">
    <w:name w:val="No Spacing"/>
    <w:link w:val="a7"/>
    <w:uiPriority w:val="1"/>
    <w:qFormat/>
    <w:rsid w:val="00424F7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424F78"/>
    <w:rPr>
      <w:rFonts w:ascii="Calibri" w:eastAsia="Times New Roman" w:hAnsi="Calibri" w:cs="Times New Roman"/>
    </w:rPr>
  </w:style>
  <w:style w:type="paragraph" w:styleId="a8">
    <w:name w:val="Subtitle"/>
    <w:basedOn w:val="a"/>
    <w:link w:val="a9"/>
    <w:qFormat/>
    <w:rsid w:val="00F764E7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F764E7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5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5932"/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FB2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0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A2E17-7475-40E8-A1A6-69B1EFBAD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2104</Words>
  <Characters>11995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Константинович Дмитрий Александрович</dc:creator>
  <cp:lastModifiedBy>Людмила В. Александрович</cp:lastModifiedBy>
  <cp:revision>6</cp:revision>
  <cp:lastPrinted>2025-05-22T10:23:00Z</cp:lastPrinted>
  <dcterms:created xsi:type="dcterms:W3CDTF">2025-04-03T10:18:00Z</dcterms:created>
  <dcterms:modified xsi:type="dcterms:W3CDTF">2025-05-22T10:26:00Z</dcterms:modified>
</cp:coreProperties>
</file>